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0" w:firstLine="0" w:firstLineChars="0"/>
        <w:jc w:val="center"/>
        <w:textAlignment w:val="auto"/>
        <w:rPr>
          <w:rFonts w:hint="eastAsia" w:ascii="方正公文小标宋" w:hAnsi="方正公文小标宋" w:eastAsia="方正公文小标宋" w:cs="方正公文小标宋"/>
          <w:b/>
          <w:kern w:val="0"/>
          <w:sz w:val="36"/>
          <w:szCs w:val="36"/>
          <w:lang w:val="en-US" w:eastAsia="zh-CN"/>
        </w:rPr>
      </w:pPr>
      <w:r>
        <w:rPr>
          <w:rFonts w:hint="eastAsia" w:ascii="方正公文小标宋" w:hAnsi="方正公文小标宋" w:eastAsia="方正公文小标宋" w:cs="方正公文小标宋"/>
          <w:b/>
          <w:kern w:val="0"/>
          <w:sz w:val="36"/>
          <w:szCs w:val="36"/>
          <w:lang w:val="en-US" w:eastAsia="zh-CN"/>
        </w:rPr>
        <w:t>湖北亿优物业管理有限责任公司</w:t>
      </w:r>
    </w:p>
    <w:p>
      <w:pPr>
        <w:keepNext w:val="0"/>
        <w:keepLines w:val="0"/>
        <w:pageBreakBefore w:val="0"/>
        <w:widowControl w:val="0"/>
        <w:kinsoku/>
        <w:wordWrap/>
        <w:overflowPunct/>
        <w:topLinePunct w:val="0"/>
        <w:autoSpaceDE/>
        <w:autoSpaceDN/>
        <w:bidi w:val="0"/>
        <w:adjustRightInd/>
        <w:snapToGrid/>
        <w:spacing w:after="200"/>
        <w:ind w:left="0" w:firstLine="0" w:firstLineChars="0"/>
        <w:jc w:val="center"/>
        <w:textAlignment w:val="auto"/>
        <w:rPr>
          <w:rFonts w:hint="default" w:eastAsia="方正公文小标宋"/>
          <w:b/>
          <w:sz w:val="30"/>
          <w:szCs w:val="30"/>
          <w:lang w:val="en-US" w:eastAsia="zh-CN"/>
        </w:rPr>
      </w:pPr>
      <w:r>
        <w:rPr>
          <w:rFonts w:hint="eastAsia" w:ascii="方正公文小标宋" w:hAnsi="方正公文小标宋" w:eastAsia="方正公文小标宋" w:cs="方正公文小标宋"/>
          <w:b/>
          <w:kern w:val="0"/>
          <w:sz w:val="36"/>
          <w:szCs w:val="36"/>
          <w:lang w:val="en-US" w:eastAsia="zh-CN"/>
        </w:rPr>
        <w:t>笃行楼餐饮后厨天然气管道改造及增加炉灶设备项目（天然气管道改造部分）</w:t>
      </w:r>
      <w:r>
        <w:rPr>
          <w:rFonts w:hint="eastAsia" w:ascii="方正公文小标宋" w:hAnsi="方正公文小标宋" w:eastAsia="方正公文小标宋" w:cs="方正公文小标宋"/>
          <w:b/>
          <w:bCs/>
          <w:color w:val="000000"/>
          <w:kern w:val="0"/>
          <w:sz w:val="36"/>
          <w:szCs w:val="36"/>
          <w:lang w:val="en-US" w:eastAsia="zh-CN"/>
        </w:rPr>
        <w:t>采购需求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一、采购内容</w:t>
      </w:r>
      <w:bookmarkStart w:id="0" w:name="_GoBack"/>
      <w:bookmarkEnd w:id="0"/>
    </w:p>
    <w:tbl>
      <w:tblPr>
        <w:tblStyle w:val="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1"/>
        <w:gridCol w:w="2265"/>
        <w:gridCol w:w="2887"/>
        <w:gridCol w:w="1399"/>
        <w:gridCol w:w="1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335" w:type="pct"/>
            <w:noWrap w:val="0"/>
            <w:vAlign w:val="center"/>
          </w:tcPr>
          <w:p>
            <w:pPr>
              <w:widowControl/>
              <w:jc w:val="center"/>
              <w:rPr>
                <w:rFonts w:ascii="宋体" w:hAnsi="宋体"/>
                <w:b w:val="0"/>
                <w:bCs/>
                <w:sz w:val="28"/>
                <w:szCs w:val="28"/>
              </w:rPr>
            </w:pPr>
            <w:r>
              <w:rPr>
                <w:rFonts w:hint="eastAsia" w:ascii="宋体" w:hAnsi="宋体"/>
                <w:b w:val="0"/>
                <w:bCs/>
                <w:sz w:val="28"/>
                <w:szCs w:val="28"/>
              </w:rPr>
              <w:t>包号</w:t>
            </w:r>
          </w:p>
        </w:tc>
        <w:tc>
          <w:tcPr>
            <w:tcW w:w="1329" w:type="pct"/>
            <w:noWrap w:val="0"/>
            <w:vAlign w:val="center"/>
          </w:tcPr>
          <w:p>
            <w:pPr>
              <w:widowControl/>
              <w:jc w:val="center"/>
              <w:rPr>
                <w:rFonts w:ascii="宋体" w:hAnsi="宋体"/>
                <w:b w:val="0"/>
                <w:bCs/>
                <w:sz w:val="28"/>
                <w:szCs w:val="28"/>
              </w:rPr>
            </w:pPr>
            <w:r>
              <w:rPr>
                <w:rFonts w:hint="eastAsia" w:ascii="宋体" w:hAnsi="宋体"/>
                <w:b w:val="0"/>
                <w:bCs/>
                <w:sz w:val="28"/>
                <w:szCs w:val="28"/>
              </w:rPr>
              <w:t>项目名称</w:t>
            </w:r>
          </w:p>
        </w:tc>
        <w:tc>
          <w:tcPr>
            <w:tcW w:w="1694" w:type="pct"/>
            <w:noWrap w:val="0"/>
            <w:vAlign w:val="center"/>
          </w:tcPr>
          <w:p>
            <w:pPr>
              <w:widowControl/>
              <w:jc w:val="center"/>
              <w:rPr>
                <w:rFonts w:ascii="宋体" w:hAnsi="宋体"/>
                <w:b w:val="0"/>
                <w:bCs/>
                <w:sz w:val="28"/>
                <w:szCs w:val="28"/>
              </w:rPr>
            </w:pPr>
            <w:r>
              <w:rPr>
                <w:rFonts w:hint="eastAsia" w:ascii="宋体" w:hAnsi="宋体"/>
                <w:b w:val="0"/>
                <w:bCs/>
                <w:sz w:val="28"/>
                <w:szCs w:val="28"/>
                <w:lang w:eastAsia="zh-CN"/>
              </w:rPr>
              <w:t>服务商</w:t>
            </w:r>
            <w:r>
              <w:rPr>
                <w:rFonts w:hint="eastAsia" w:ascii="宋体" w:hAnsi="宋体"/>
                <w:b w:val="0"/>
                <w:bCs/>
                <w:sz w:val="28"/>
                <w:szCs w:val="28"/>
              </w:rPr>
              <w:t>名称</w:t>
            </w:r>
          </w:p>
        </w:tc>
        <w:tc>
          <w:tcPr>
            <w:tcW w:w="821" w:type="pct"/>
            <w:noWrap w:val="0"/>
            <w:vAlign w:val="center"/>
          </w:tcPr>
          <w:p>
            <w:pPr>
              <w:widowControl/>
              <w:jc w:val="center"/>
              <w:rPr>
                <w:rFonts w:hint="eastAsia" w:ascii="宋体" w:hAnsi="宋体"/>
                <w:b w:val="0"/>
                <w:bCs/>
                <w:sz w:val="28"/>
                <w:szCs w:val="28"/>
              </w:rPr>
            </w:pPr>
            <w:r>
              <w:rPr>
                <w:rFonts w:hint="eastAsia" w:ascii="宋体" w:hAnsi="宋体"/>
                <w:b w:val="0"/>
                <w:bCs/>
                <w:sz w:val="28"/>
                <w:szCs w:val="28"/>
              </w:rPr>
              <w:t>数量</w:t>
            </w:r>
          </w:p>
        </w:tc>
        <w:tc>
          <w:tcPr>
            <w:tcW w:w="821" w:type="pct"/>
            <w:noWrap w:val="0"/>
            <w:vAlign w:val="center"/>
          </w:tcPr>
          <w:p>
            <w:pPr>
              <w:widowControl/>
              <w:jc w:val="center"/>
              <w:rPr>
                <w:rFonts w:ascii="宋体" w:hAnsi="宋体"/>
                <w:b w:val="0"/>
                <w:bCs/>
                <w:sz w:val="28"/>
                <w:szCs w:val="28"/>
              </w:rPr>
            </w:pPr>
            <w:r>
              <w:rPr>
                <w:rFonts w:hint="eastAsia" w:ascii="宋体" w:hAnsi="宋体"/>
                <w:b w:val="0"/>
                <w:bCs/>
                <w:sz w:val="28"/>
                <w:szCs w:val="28"/>
              </w:rPr>
              <w:t>预算(元)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335" w:type="pct"/>
            <w:noWrap w:val="0"/>
            <w:vAlign w:val="center"/>
          </w:tcPr>
          <w:p>
            <w:pPr>
              <w:widowControl/>
              <w:jc w:val="center"/>
              <w:rPr>
                <w:rFonts w:ascii="宋体" w:hAnsi="宋体"/>
                <w:b w:val="0"/>
                <w:bCs/>
                <w:sz w:val="28"/>
                <w:szCs w:val="28"/>
              </w:rPr>
            </w:pPr>
            <w:r>
              <w:rPr>
                <w:rFonts w:hint="eastAsia" w:ascii="宋体" w:hAnsi="宋体"/>
                <w:b w:val="0"/>
                <w:bCs/>
                <w:sz w:val="28"/>
                <w:szCs w:val="28"/>
              </w:rPr>
              <w:t>1</w:t>
            </w:r>
          </w:p>
        </w:tc>
        <w:tc>
          <w:tcPr>
            <w:tcW w:w="1329" w:type="pct"/>
            <w:noWrap w:val="0"/>
            <w:vAlign w:val="center"/>
          </w:tcPr>
          <w:p>
            <w:pPr>
              <w:widowControl/>
              <w:jc w:val="center"/>
              <w:rPr>
                <w:rFonts w:hint="default" w:ascii="宋体" w:hAnsi="宋体" w:eastAsia="宋体"/>
                <w:b w:val="0"/>
                <w:bCs/>
                <w:sz w:val="28"/>
                <w:szCs w:val="28"/>
                <w:lang w:val="en-US" w:eastAsia="zh-CN"/>
              </w:rPr>
            </w:pPr>
            <w:r>
              <w:rPr>
                <w:rFonts w:hint="eastAsia" w:ascii="宋体" w:hAnsi="宋体"/>
                <w:b w:val="0"/>
                <w:bCs/>
                <w:sz w:val="28"/>
                <w:szCs w:val="28"/>
                <w:lang w:val="en-US" w:eastAsia="zh-CN"/>
              </w:rPr>
              <w:t>笃行楼餐饮后厨天然气改造项目</w:t>
            </w:r>
          </w:p>
        </w:tc>
        <w:tc>
          <w:tcPr>
            <w:tcW w:w="1694" w:type="pct"/>
            <w:noWrap w:val="0"/>
            <w:vAlign w:val="center"/>
          </w:tcPr>
          <w:p>
            <w:pPr>
              <w:widowControl/>
              <w:jc w:val="center"/>
              <w:rPr>
                <w:rFonts w:hint="eastAsia" w:ascii="宋体" w:hAnsi="宋体"/>
                <w:b w:val="0"/>
                <w:bCs/>
                <w:sz w:val="28"/>
                <w:szCs w:val="28"/>
                <w:lang w:val="en-US" w:eastAsia="zh-CN"/>
              </w:rPr>
            </w:pPr>
            <w:r>
              <w:rPr>
                <w:rFonts w:hint="eastAsia" w:ascii="宋体" w:hAnsi="宋体"/>
                <w:b w:val="0"/>
                <w:bCs/>
                <w:sz w:val="28"/>
                <w:szCs w:val="28"/>
                <w:lang w:val="en-US" w:eastAsia="zh-CN"/>
              </w:rPr>
              <w:t>武汉光谷</w:t>
            </w:r>
          </w:p>
          <w:p>
            <w:pPr>
              <w:widowControl/>
              <w:jc w:val="center"/>
              <w:rPr>
                <w:rFonts w:hint="default" w:ascii="宋体" w:hAnsi="宋体" w:eastAsia="宋体"/>
                <w:b w:val="0"/>
                <w:bCs/>
                <w:sz w:val="28"/>
                <w:szCs w:val="28"/>
                <w:lang w:val="en-US" w:eastAsia="zh-CN"/>
              </w:rPr>
            </w:pPr>
            <w:r>
              <w:rPr>
                <w:rFonts w:hint="eastAsia" w:ascii="宋体" w:hAnsi="宋体"/>
                <w:b w:val="0"/>
                <w:bCs/>
                <w:sz w:val="28"/>
                <w:szCs w:val="28"/>
                <w:lang w:val="en-US" w:eastAsia="zh-CN"/>
              </w:rPr>
              <w:t>天然气有限公司</w:t>
            </w:r>
          </w:p>
        </w:tc>
        <w:tc>
          <w:tcPr>
            <w:tcW w:w="821" w:type="pct"/>
            <w:noWrap w:val="0"/>
            <w:vAlign w:val="center"/>
          </w:tcPr>
          <w:p>
            <w:pPr>
              <w:widowControl/>
              <w:jc w:val="center"/>
              <w:rPr>
                <w:rFonts w:hint="eastAsia" w:ascii="宋体" w:hAnsi="宋体" w:eastAsia="宋体"/>
                <w:b w:val="0"/>
                <w:bCs/>
                <w:sz w:val="28"/>
                <w:szCs w:val="28"/>
                <w:lang w:val="en-US" w:eastAsia="zh-CN"/>
              </w:rPr>
            </w:pPr>
            <w:r>
              <w:rPr>
                <w:rFonts w:hint="eastAsia" w:ascii="宋体" w:hAnsi="宋体"/>
                <w:b w:val="0"/>
                <w:bCs/>
                <w:sz w:val="28"/>
                <w:szCs w:val="28"/>
                <w:lang w:val="en-US" w:eastAsia="zh-CN"/>
              </w:rPr>
              <w:t>1</w:t>
            </w:r>
          </w:p>
        </w:tc>
        <w:tc>
          <w:tcPr>
            <w:tcW w:w="821" w:type="pct"/>
            <w:noWrap w:val="0"/>
            <w:vAlign w:val="center"/>
          </w:tcPr>
          <w:p>
            <w:pPr>
              <w:widowControl/>
              <w:jc w:val="center"/>
              <w:rPr>
                <w:rFonts w:hint="default" w:ascii="宋体" w:hAnsi="宋体" w:eastAsia="宋体"/>
                <w:b w:val="0"/>
                <w:bCs/>
                <w:sz w:val="28"/>
                <w:szCs w:val="28"/>
                <w:lang w:val="en-US" w:eastAsia="zh-CN"/>
              </w:rPr>
            </w:pPr>
            <w:r>
              <w:rPr>
                <w:rFonts w:hint="eastAsia" w:ascii="宋体" w:hAnsi="宋体"/>
                <w:b w:val="0"/>
                <w:bCs/>
                <w:sz w:val="28"/>
                <w:szCs w:val="28"/>
                <w:lang w:val="en-US" w:eastAsia="zh-CN"/>
              </w:rPr>
              <w:t>13584.98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358" w:type="pct"/>
            <w:gridSpan w:val="3"/>
            <w:noWrap w:val="0"/>
            <w:vAlign w:val="center"/>
          </w:tcPr>
          <w:p>
            <w:pPr>
              <w:widowControl/>
              <w:ind w:firstLine="1120" w:firstLineChars="400"/>
              <w:rPr>
                <w:rFonts w:ascii="宋体" w:hAnsi="宋体"/>
                <w:b w:val="0"/>
                <w:bCs/>
                <w:sz w:val="28"/>
                <w:szCs w:val="28"/>
              </w:rPr>
            </w:pPr>
            <w:r>
              <w:rPr>
                <w:rFonts w:hint="eastAsia" w:ascii="宋体" w:hAnsi="宋体"/>
                <w:b w:val="0"/>
                <w:bCs/>
                <w:sz w:val="28"/>
                <w:szCs w:val="28"/>
              </w:rPr>
              <w:t>合       计</w:t>
            </w:r>
          </w:p>
        </w:tc>
        <w:tc>
          <w:tcPr>
            <w:tcW w:w="821" w:type="pct"/>
            <w:noWrap w:val="0"/>
            <w:vAlign w:val="center"/>
          </w:tcPr>
          <w:p>
            <w:pPr>
              <w:widowControl/>
              <w:jc w:val="center"/>
              <w:rPr>
                <w:rFonts w:hint="eastAsia" w:ascii="宋体" w:hAnsi="宋体"/>
                <w:b w:val="0"/>
                <w:bCs/>
                <w:sz w:val="28"/>
                <w:szCs w:val="28"/>
              </w:rPr>
            </w:pPr>
          </w:p>
        </w:tc>
        <w:tc>
          <w:tcPr>
            <w:tcW w:w="821" w:type="pct"/>
            <w:noWrap w:val="0"/>
            <w:vAlign w:val="center"/>
          </w:tcPr>
          <w:p>
            <w:pPr>
              <w:widowControl/>
              <w:jc w:val="center"/>
              <w:rPr>
                <w:rFonts w:ascii="宋体" w:hAnsi="宋体"/>
                <w:b w:val="0"/>
                <w:bCs/>
                <w:sz w:val="28"/>
                <w:szCs w:val="28"/>
              </w:rPr>
            </w:pPr>
          </w:p>
        </w:tc>
      </w:tr>
    </w:tbl>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b w:val="0"/>
          <w:bCs/>
          <w:sz w:val="30"/>
          <w:szCs w:val="30"/>
        </w:rPr>
      </w:pPr>
      <w:r>
        <w:rPr>
          <w:rFonts w:hint="eastAsia" w:ascii="宋体" w:hAnsi="宋体"/>
          <w:b w:val="0"/>
          <w:bCs/>
          <w:sz w:val="28"/>
          <w:szCs w:val="28"/>
        </w:rPr>
        <w:t>备</w:t>
      </w:r>
      <w:r>
        <w:rPr>
          <w:rFonts w:hint="eastAsia" w:ascii="仿宋" w:hAnsi="仿宋" w:eastAsia="仿宋" w:cs="仿宋"/>
          <w:b w:val="0"/>
          <w:bCs/>
          <w:sz w:val="30"/>
          <w:szCs w:val="30"/>
        </w:rPr>
        <w:t>注：本项目共分</w:t>
      </w:r>
      <w:r>
        <w:rPr>
          <w:rFonts w:hint="eastAsia" w:ascii="仿宋" w:hAnsi="仿宋" w:eastAsia="仿宋" w:cs="仿宋"/>
          <w:b w:val="0"/>
          <w:bCs/>
          <w:sz w:val="30"/>
          <w:szCs w:val="30"/>
          <w:u w:val="single"/>
          <w:lang w:val="en-US" w:eastAsia="zh-CN"/>
        </w:rPr>
        <w:t>1</w:t>
      </w:r>
      <w:r>
        <w:rPr>
          <w:rFonts w:hint="eastAsia" w:ascii="仿宋" w:hAnsi="仿宋" w:eastAsia="仿宋" w:cs="仿宋"/>
          <w:b w:val="0"/>
          <w:bCs/>
          <w:sz w:val="30"/>
          <w:szCs w:val="30"/>
        </w:rPr>
        <w:t>个</w:t>
      </w:r>
      <w:r>
        <w:rPr>
          <w:rFonts w:hint="eastAsia" w:ascii="仿宋" w:hAnsi="仿宋" w:eastAsia="仿宋" w:cs="仿宋"/>
          <w:b w:val="0"/>
          <w:bCs/>
          <w:sz w:val="30"/>
          <w:szCs w:val="30"/>
          <w:lang w:val="en-US" w:eastAsia="zh-CN"/>
        </w:rPr>
        <w:t>项目</w:t>
      </w:r>
      <w:r>
        <w:rPr>
          <w:rFonts w:hint="eastAsia" w:ascii="仿宋" w:hAnsi="仿宋" w:eastAsia="仿宋" w:cs="仿宋"/>
          <w:b w:val="0"/>
          <w:bCs/>
          <w:sz w:val="30"/>
          <w:szCs w:val="30"/>
        </w:rPr>
        <w:t>包，</w:t>
      </w:r>
      <w:r>
        <w:rPr>
          <w:rFonts w:hint="eastAsia" w:ascii="仿宋" w:hAnsi="仿宋" w:eastAsia="仿宋" w:cs="仿宋"/>
          <w:b w:val="0"/>
          <w:bCs/>
          <w:sz w:val="30"/>
          <w:szCs w:val="30"/>
          <w:lang w:eastAsia="zh-CN"/>
        </w:rPr>
        <w:t>服务商</w:t>
      </w:r>
      <w:r>
        <w:rPr>
          <w:rFonts w:hint="eastAsia" w:ascii="仿宋" w:hAnsi="仿宋" w:eastAsia="仿宋" w:cs="仿宋"/>
          <w:b w:val="0"/>
          <w:bCs/>
          <w:sz w:val="30"/>
          <w:szCs w:val="30"/>
        </w:rPr>
        <w:t>按上述对应包号提交密封单一来源响应文件进行单一来源商务洽谈。投标报价不应超出该包的采购预算价，超出即为无效投标。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二、工程施工范围、内容及技术要求</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仿宋" w:hAnsi="仿宋" w:eastAsia="仿宋" w:cs="仿宋"/>
          <w:b w:val="0"/>
          <w:bCs/>
          <w:sz w:val="30"/>
          <w:szCs w:val="30"/>
          <w:lang w:val="en-US" w:eastAsia="zh-CN"/>
        </w:rPr>
      </w:pPr>
      <w:r>
        <w:rPr>
          <w:rFonts w:hint="eastAsia" w:ascii="仿宋" w:hAnsi="仿宋" w:eastAsia="仿宋" w:cs="仿宋"/>
          <w:b w:val="0"/>
          <w:bCs/>
          <w:sz w:val="30"/>
          <w:szCs w:val="30"/>
        </w:rPr>
        <w:t>位于GY5-114-杨桥湖大道经济学院法商学院增加设备（工程改造-红线内）燃气项目范围内影响增加用气设备实施的天</w:t>
      </w:r>
      <w:r>
        <w:rPr>
          <w:rFonts w:hint="eastAsia" w:ascii="仿宋" w:hAnsi="仿宋" w:eastAsia="仿宋" w:cs="仿宋"/>
          <w:b w:val="0"/>
          <w:bCs/>
          <w:sz w:val="30"/>
          <w:szCs w:val="30"/>
          <w:lang w:val="en-US" w:eastAsia="zh-CN"/>
        </w:rPr>
        <w:t>燃</w:t>
      </w:r>
      <w:r>
        <w:rPr>
          <w:rFonts w:hint="eastAsia" w:ascii="仿宋" w:hAnsi="仿宋" w:eastAsia="仿宋" w:cs="仿宋"/>
          <w:b w:val="0"/>
          <w:bCs/>
          <w:sz w:val="30"/>
          <w:szCs w:val="30"/>
        </w:rPr>
        <w:t>气管道迁改至双方一致认可的新位置。</w:t>
      </w:r>
      <w:r>
        <w:rPr>
          <w:rFonts w:hint="eastAsia" w:ascii="仿宋" w:hAnsi="仿宋" w:eastAsia="仿宋" w:cs="仿宋"/>
          <w:b w:val="0"/>
          <w:bCs/>
          <w:sz w:val="30"/>
          <w:szCs w:val="30"/>
          <w:lang w:val="en-US" w:eastAsia="zh-CN"/>
        </w:rPr>
        <w:t>武汉光谷天燃气有限公司</w:t>
      </w:r>
      <w:r>
        <w:rPr>
          <w:rFonts w:hint="eastAsia" w:ascii="仿宋" w:hAnsi="仿宋" w:eastAsia="仿宋" w:cs="仿宋"/>
          <w:b w:val="0"/>
          <w:bCs/>
          <w:sz w:val="30"/>
          <w:szCs w:val="30"/>
        </w:rPr>
        <w:t>负责对其进行委托设计、设备材料采购、施工、监理及验收。工程内容详见</w:t>
      </w:r>
      <w:r>
        <w:rPr>
          <w:rFonts w:hint="eastAsia" w:ascii="仿宋" w:hAnsi="仿宋" w:eastAsia="仿宋" w:cs="仿宋"/>
          <w:b w:val="0"/>
          <w:bCs/>
          <w:sz w:val="30"/>
          <w:szCs w:val="30"/>
          <w:lang w:val="en-US" w:eastAsia="zh-CN"/>
        </w:rPr>
        <w:t>武汉光谷天燃气有限公司</w:t>
      </w:r>
      <w:r>
        <w:rPr>
          <w:rFonts w:hint="eastAsia" w:ascii="仿宋" w:hAnsi="仿宋" w:eastAsia="仿宋" w:cs="仿宋"/>
          <w:b w:val="0"/>
          <w:bCs/>
          <w:sz w:val="30"/>
          <w:szCs w:val="30"/>
        </w:rPr>
        <w:t>提供的设计施工</w:t>
      </w:r>
      <w:r>
        <w:rPr>
          <w:rFonts w:hint="eastAsia" w:ascii="仿宋" w:hAnsi="仿宋" w:eastAsia="仿宋" w:cs="仿宋"/>
          <w:b w:val="0"/>
          <w:bCs/>
          <w:sz w:val="30"/>
          <w:szCs w:val="30"/>
          <w:lang w:val="en-US" w:eastAsia="zh-CN"/>
        </w:rPr>
        <w:t>方案</w:t>
      </w:r>
      <w:r>
        <w:rPr>
          <w:rFonts w:hint="eastAsia" w:ascii="仿宋" w:hAnsi="仿宋" w:eastAsia="仿宋" w:cs="仿宋"/>
          <w:b w:val="0"/>
          <w:bCs/>
          <w:sz w:val="30"/>
          <w:szCs w:val="30"/>
        </w:rPr>
        <w:t>及工程预算书。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三、商务要求</w:t>
      </w:r>
    </w:p>
    <w:p>
      <w:pPr>
        <w:keepNext w:val="0"/>
        <w:keepLines w:val="0"/>
        <w:pageBreakBefore w:val="0"/>
        <w:widowControl w:val="0"/>
        <w:kinsoku/>
        <w:wordWrap/>
        <w:overflowPunct/>
        <w:topLinePunct w:val="0"/>
        <w:bidi w:val="0"/>
        <w:spacing w:line="60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楷体" w:hAnsi="楷体" w:eastAsia="楷体" w:cs="楷体"/>
          <w:sz w:val="32"/>
          <w:szCs w:val="32"/>
          <w:lang w:val="en-US" w:eastAsia="zh-CN"/>
        </w:rPr>
        <w:t>（一）施工时间及期限</w:t>
      </w:r>
      <w:r>
        <w:rPr>
          <w:rFonts w:hint="eastAsia" w:ascii="楷体" w:hAnsi="楷体" w:eastAsia="楷体" w:cs="楷体"/>
          <w:sz w:val="32"/>
          <w:szCs w:val="32"/>
        </w:rPr>
        <w:t>：</w:t>
      </w:r>
      <w:r>
        <w:rPr>
          <w:rFonts w:hint="eastAsia" w:ascii="仿宋" w:hAnsi="仿宋" w:eastAsia="仿宋" w:cs="仿宋"/>
          <w:color w:val="auto"/>
          <w:sz w:val="32"/>
          <w:szCs w:val="32"/>
          <w:u w:val="none"/>
          <w:lang w:val="en-US" w:eastAsia="zh-CN"/>
        </w:rPr>
        <w:t>支付首付款后，武汉天</w:t>
      </w:r>
      <w:r>
        <w:rPr>
          <w:rFonts w:hint="eastAsia" w:ascii="仿宋" w:hAnsi="仿宋" w:eastAsia="仿宋" w:cs="仿宋"/>
          <w:b w:val="0"/>
          <w:bCs/>
          <w:sz w:val="32"/>
          <w:szCs w:val="32"/>
          <w:lang w:val="en-US" w:eastAsia="zh-CN"/>
        </w:rPr>
        <w:t>燃</w:t>
      </w:r>
      <w:r>
        <w:rPr>
          <w:rFonts w:hint="eastAsia" w:ascii="仿宋" w:hAnsi="仿宋" w:eastAsia="仿宋" w:cs="仿宋"/>
          <w:color w:val="auto"/>
          <w:sz w:val="32"/>
          <w:szCs w:val="32"/>
          <w:u w:val="none"/>
          <w:lang w:val="en-US" w:eastAsia="zh-CN"/>
        </w:rPr>
        <w:t>气有限公司进场施工，并</w:t>
      </w:r>
      <w:r>
        <w:rPr>
          <w:rFonts w:hint="eastAsia" w:ascii="仿宋" w:hAnsi="仿宋" w:eastAsia="仿宋" w:cs="仿宋"/>
          <w:color w:val="000000"/>
          <w:sz w:val="32"/>
          <w:szCs w:val="32"/>
          <w:u w:val="none"/>
        </w:rPr>
        <w:t>在进场施工后15日内完成改管工程，由于不可抗力、</w:t>
      </w:r>
      <w:r>
        <w:rPr>
          <w:rFonts w:hint="eastAsia" w:ascii="仿宋" w:hAnsi="仿宋" w:eastAsia="仿宋" w:cs="仿宋"/>
          <w:color w:val="000000"/>
          <w:sz w:val="32"/>
          <w:szCs w:val="32"/>
          <w:u w:val="none"/>
          <w:lang w:val="en-US" w:eastAsia="zh-CN"/>
        </w:rPr>
        <w:t>湖北亿优物业管理有限责任公司造成的</w:t>
      </w:r>
      <w:r>
        <w:rPr>
          <w:rFonts w:hint="eastAsia" w:ascii="仿宋" w:hAnsi="仿宋" w:eastAsia="仿宋" w:cs="仿宋"/>
          <w:color w:val="000000"/>
          <w:sz w:val="32"/>
          <w:szCs w:val="32"/>
          <w:u w:val="none"/>
        </w:rPr>
        <w:t>原因或有关路政施工开挖协调工作影响，工期</w:t>
      </w:r>
      <w:r>
        <w:rPr>
          <w:rFonts w:hint="eastAsia" w:ascii="仿宋" w:hAnsi="仿宋" w:eastAsia="仿宋" w:cs="仿宋"/>
          <w:color w:val="000000"/>
          <w:sz w:val="32"/>
          <w:szCs w:val="32"/>
          <w:u w:val="none"/>
          <w:lang w:val="en-US" w:eastAsia="zh-CN"/>
        </w:rPr>
        <w:t>可</w:t>
      </w:r>
      <w:r>
        <w:rPr>
          <w:rFonts w:hint="eastAsia" w:ascii="仿宋" w:hAnsi="仿宋" w:eastAsia="仿宋" w:cs="仿宋"/>
          <w:color w:val="000000"/>
          <w:sz w:val="32"/>
          <w:szCs w:val="32"/>
          <w:u w:val="none"/>
        </w:rPr>
        <w:t>顺延。（</w:t>
      </w:r>
      <w:r>
        <w:rPr>
          <w:rFonts w:hint="eastAsia" w:ascii="仿宋" w:hAnsi="仿宋" w:eastAsia="仿宋" w:cs="仿宋"/>
          <w:color w:val="000000"/>
          <w:sz w:val="32"/>
          <w:szCs w:val="32"/>
          <w:lang w:val="en-US" w:eastAsia="zh-CN"/>
        </w:rPr>
        <w:t>武汉光谷天燃气公司</w:t>
      </w:r>
      <w:r>
        <w:rPr>
          <w:rFonts w:hint="eastAsia" w:ascii="仿宋" w:hAnsi="仿宋" w:eastAsia="仿宋" w:cs="仿宋"/>
          <w:color w:val="000000"/>
          <w:sz w:val="32"/>
          <w:szCs w:val="32"/>
          <w:u w:val="none"/>
        </w:rPr>
        <w:t>进场施工的前提条件：</w:t>
      </w:r>
      <w:r>
        <w:rPr>
          <w:rFonts w:hint="eastAsia" w:ascii="仿宋" w:hAnsi="仿宋" w:eastAsia="仿宋" w:cs="仿宋"/>
          <w:color w:val="000000"/>
          <w:sz w:val="32"/>
          <w:szCs w:val="32"/>
          <w:u w:val="none"/>
          <w:lang w:val="en-US" w:eastAsia="zh-CN"/>
        </w:rPr>
        <w:t>湖北亿优物业管理有限责任公司</w:t>
      </w:r>
      <w:r>
        <w:rPr>
          <w:rFonts w:hint="eastAsia" w:ascii="仿宋" w:hAnsi="仿宋" w:eastAsia="仿宋" w:cs="仿宋"/>
          <w:color w:val="000000"/>
          <w:sz w:val="32"/>
          <w:szCs w:val="32"/>
          <w:u w:val="none"/>
        </w:rPr>
        <w:t>必须支付工程首付款）。</w:t>
      </w:r>
      <w:r>
        <w:rPr>
          <w:rFonts w:hint="eastAsia" w:ascii="仿宋" w:hAnsi="仿宋" w:eastAsia="仿宋" w:cs="仿宋"/>
          <w:sz w:val="32"/>
          <w:szCs w:val="32"/>
          <w:u w:val="none"/>
        </w:rPr>
        <mc:AlternateContent>
          <mc:Choice Requires="wps">
            <w:drawing>
              <wp:anchor distT="0" distB="0" distL="114300" distR="114300" simplePos="0" relativeHeight="251659264" behindDoc="0" locked="0" layoutInCell="1" allowOverlap="1">
                <wp:simplePos x="0" y="0"/>
                <wp:positionH relativeFrom="page">
                  <wp:posOffset>3683000</wp:posOffset>
                </wp:positionH>
                <wp:positionV relativeFrom="paragraph">
                  <wp:posOffset>9588500</wp:posOffset>
                </wp:positionV>
                <wp:extent cx="1473200" cy="215900"/>
                <wp:effectExtent l="0" t="0" r="0" b="0"/>
                <wp:wrapNone/>
                <wp:docPr id="1" name="文本框 1"/>
                <wp:cNvGraphicFramePr/>
                <a:graphic xmlns:a="http://schemas.openxmlformats.org/drawingml/2006/main">
                  <a:graphicData uri="http://schemas.microsoft.com/office/word/2010/wordprocessingShape">
                    <wps:wsp>
                      <wps:cNvSpPr txBox="1"/>
                      <wps:spPr>
                        <a:xfrm>
                          <a:off x="1601470" y="2139315"/>
                          <a:ext cx="2132965" cy="3376295"/>
                        </a:xfrm>
                        <a:prstGeom prst="rect">
                          <a:avLst/>
                        </a:prstGeom>
                        <a:noFill/>
                        <a:ln w="6350">
                          <a:noFill/>
                        </a:ln>
                        <a:effectLst/>
                      </wps:spPr>
                      <wps:txbx>
                        <w:txbxContent>
                          <w:p/>
                        </w:txbxContent>
                      </wps:txbx>
                      <wps:bodyPr lIns="25400" tIns="0" rIns="25400" bIns="0">
                        <a:noAutofit/>
                      </wps:bodyPr>
                    </wps:wsp>
                  </a:graphicData>
                </a:graphic>
              </wp:anchor>
            </w:drawing>
          </mc:Choice>
          <mc:Fallback>
            <w:pict>
              <v:shape id="_x0000_s1026" o:spid="_x0000_s1026" o:spt="202" type="#_x0000_t202" style="position:absolute;left:0pt;margin-left:290pt;margin-top:755pt;height:17pt;width:116pt;mso-position-horizontal-relative:page;z-index:251659264;mso-width-relative:page;mso-height-relative:page;" filled="f" stroked="f" coordsize="21600,21600" o:gfxdata="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56PXq9gAAAANAQAADwAA&#10;AAAAAAABACAAAAAiAAAAZHJzL2Rvd25yZXYueG1sUEsBAhQAFAAAAAgAh07iQMbfCwfdAQAArAMA&#10;AA4AAAAAAAAAAQAgAAAAJwEAAGRycy9lMm9Eb2MueG1sUEsFBgAAAAAGAAYAWQEAAHYFAAAAAA==&#10;">
                <v:fill on="f" focussize="0,0"/>
                <v:stroke on="f" weight="0.5pt"/>
                <v:imagedata o:title=""/>
                <o:lock v:ext="edit" aspectratio="f"/>
                <v:textbox inset="2pt,0mm,2pt,0mm">
                  <w:txbxContent>
                    <w:p/>
                  </w:txbxContent>
                </v:textbox>
              </v:shape>
            </w:pict>
          </mc:Fallback>
        </mc:AlternateContent>
      </w:r>
      <w:r>
        <w:rPr>
          <w:rFonts w:hint="eastAsia" w:ascii="仿宋" w:hAnsi="仿宋" w:eastAsia="仿宋" w:cs="仿宋"/>
          <w:color w:val="000000"/>
          <w:sz w:val="32"/>
          <w:szCs w:val="32"/>
          <w:u w:val="none"/>
          <w:lang w:val="en-US" w:eastAsia="zh-CN"/>
        </w:rPr>
        <w:t xml:space="preserve">  </w:t>
      </w:r>
    </w:p>
    <w:p>
      <w:pPr>
        <w:keepNext w:val="0"/>
        <w:keepLines w:val="0"/>
        <w:pageBreakBefore w:val="0"/>
        <w:widowControl w:val="0"/>
        <w:kinsoku/>
        <w:wordWrap/>
        <w:overflowPunct/>
        <w:topLinePunct w:val="0"/>
        <w:bidi w:val="0"/>
        <w:spacing w:line="600" w:lineRule="exact"/>
        <w:ind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（二）施工责任及安全：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1.施工责任：</w:t>
      </w:r>
    </w:p>
    <w:p>
      <w:pPr>
        <w:keepNext w:val="0"/>
        <w:keepLines w:val="0"/>
        <w:pageBreakBefore w:val="0"/>
        <w:widowControl w:val="0"/>
        <w:kinsoku/>
        <w:wordWrap/>
        <w:overflowPunct/>
        <w:topLinePunct w:val="0"/>
        <w:bidi w:val="0"/>
        <w:spacing w:line="60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auto"/>
          <w:sz w:val="32"/>
          <w:szCs w:val="32"/>
          <w:lang w:val="en-US" w:eastAsia="zh-CN"/>
        </w:rPr>
        <w:t>（1）湖北亿优物业管理有限公司施工责任：</w:t>
      </w:r>
      <w:r>
        <w:rPr>
          <w:rFonts w:hint="eastAsia" w:ascii="仿宋" w:hAnsi="仿宋" w:eastAsia="仿宋" w:cs="仿宋"/>
          <w:color w:val="000000"/>
          <w:sz w:val="32"/>
          <w:szCs w:val="32"/>
        </w:rPr>
        <w:t>按协议条款支付工程款，如</w:t>
      </w:r>
      <w:r>
        <w:rPr>
          <w:rFonts w:hint="eastAsia" w:ascii="仿宋" w:hAnsi="仿宋" w:eastAsia="仿宋" w:cs="仿宋"/>
          <w:color w:val="auto"/>
          <w:sz w:val="32"/>
          <w:szCs w:val="32"/>
          <w:lang w:val="en-US" w:eastAsia="zh-CN"/>
        </w:rPr>
        <w:t>湖北亿优物业管理有限公司</w:t>
      </w:r>
      <w:r>
        <w:rPr>
          <w:rFonts w:hint="eastAsia" w:ascii="仿宋" w:hAnsi="仿宋" w:eastAsia="仿宋" w:cs="仿宋"/>
          <w:color w:val="000000"/>
          <w:sz w:val="32"/>
          <w:szCs w:val="32"/>
        </w:rPr>
        <w:t>未及时付款，需按总价款的日3‰支付违约金，同时</w:t>
      </w:r>
      <w:r>
        <w:rPr>
          <w:rFonts w:hint="eastAsia" w:ascii="仿宋" w:hAnsi="仿宋" w:eastAsia="仿宋" w:cs="仿宋"/>
          <w:color w:val="000000"/>
          <w:sz w:val="32"/>
          <w:szCs w:val="32"/>
          <w:lang w:val="en-US" w:eastAsia="zh-CN"/>
        </w:rPr>
        <w:t>武汉光谷天燃气有限公司</w:t>
      </w:r>
      <w:r>
        <w:rPr>
          <w:rFonts w:hint="eastAsia" w:ascii="仿宋" w:hAnsi="仿宋" w:eastAsia="仿宋" w:cs="仿宋"/>
          <w:color w:val="000000"/>
          <w:sz w:val="32"/>
          <w:szCs w:val="32"/>
        </w:rPr>
        <w:t>有权拒绝进场施工或采取相应法律措施</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负责解决</w:t>
      </w:r>
      <w:r>
        <w:rPr>
          <w:rFonts w:hint="eastAsia" w:ascii="仿宋" w:hAnsi="仿宋" w:eastAsia="仿宋" w:cs="仿宋"/>
          <w:color w:val="000000"/>
          <w:sz w:val="32"/>
          <w:szCs w:val="32"/>
          <w:lang w:val="en-US" w:eastAsia="zh-CN"/>
        </w:rPr>
        <w:t>武汉光谷天燃气有限公司</w:t>
      </w:r>
      <w:r>
        <w:rPr>
          <w:rFonts w:hint="eastAsia" w:ascii="仿宋" w:hAnsi="仿宋" w:eastAsia="仿宋" w:cs="仿宋"/>
          <w:color w:val="000000"/>
          <w:sz w:val="32"/>
          <w:szCs w:val="32"/>
        </w:rPr>
        <w:t>在施工过程中涉及城管、交管、园林及其他障碍方的问题协调，并承担相应的费用，如造成工期延误，工期应顺延</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负责办理市政道路开挖手续并承担相应的赔偿费用（如有）</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负责实施改管工程涉及到的、工程价格中未含的路面的恢复（如有）</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协助</w:t>
      </w:r>
      <w:r>
        <w:rPr>
          <w:rFonts w:hint="eastAsia" w:ascii="仿宋" w:hAnsi="仿宋" w:eastAsia="仿宋" w:cs="仿宋"/>
          <w:color w:val="000000"/>
          <w:sz w:val="32"/>
          <w:szCs w:val="32"/>
          <w:lang w:val="en-US" w:eastAsia="zh-CN"/>
        </w:rPr>
        <w:t>武汉光谷天燃气有限公司</w:t>
      </w:r>
      <w:r>
        <w:rPr>
          <w:rFonts w:hint="eastAsia" w:ascii="仿宋" w:hAnsi="仿宋" w:eastAsia="仿宋" w:cs="仿宋"/>
          <w:color w:val="000000"/>
          <w:sz w:val="32"/>
          <w:szCs w:val="32"/>
        </w:rPr>
        <w:t>组织工程验收工作。</w:t>
      </w:r>
    </w:p>
    <w:p>
      <w:pPr>
        <w:keepNext w:val="0"/>
        <w:keepLines w:val="0"/>
        <w:pageBreakBefore w:val="0"/>
        <w:widowControl w:val="0"/>
        <w:kinsoku/>
        <w:wordWrap/>
        <w:overflowPunct/>
        <w:topLinePunct w:val="0"/>
        <w:bidi w:val="0"/>
        <w:spacing w:line="60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武汉光谷天燃气有限公司负责：</w:t>
      </w:r>
      <w:r>
        <w:rPr>
          <w:rFonts w:hint="eastAsia" w:ascii="仿宋" w:hAnsi="仿宋" w:eastAsia="仿宋" w:cs="仿宋"/>
          <w:color w:val="000000"/>
          <w:sz w:val="32"/>
          <w:szCs w:val="32"/>
        </w:rPr>
        <w:t>负责改管工程中所有事宜，按燃气规范标准要求施工，确保工程质量符合国家规定</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按城市管理有关法规和标准规范组织安全生产、文明施工</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保证土建工程非机动车道、机动车道及人行道沟槽回填达到市政管理要求</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武汉光谷天燃气有限公司</w:t>
      </w:r>
      <w:r>
        <w:rPr>
          <w:rFonts w:hint="eastAsia" w:ascii="仿宋" w:hAnsi="仿宋" w:eastAsia="仿宋" w:cs="仿宋"/>
          <w:color w:val="000000"/>
          <w:sz w:val="32"/>
          <w:szCs w:val="32"/>
        </w:rPr>
        <w:t>施工单位必须服从</w:t>
      </w:r>
      <w:r>
        <w:rPr>
          <w:rFonts w:hint="eastAsia" w:ascii="仿宋" w:hAnsi="仿宋" w:eastAsia="仿宋" w:cs="仿宋"/>
          <w:color w:val="000000"/>
          <w:sz w:val="32"/>
          <w:szCs w:val="32"/>
          <w:lang w:val="en-US" w:eastAsia="zh-CN"/>
        </w:rPr>
        <w:t>湖北亿优物业管理有限责任公司</w:t>
      </w:r>
      <w:r>
        <w:rPr>
          <w:rFonts w:hint="eastAsia" w:ascii="仿宋" w:hAnsi="仿宋" w:eastAsia="仿宋" w:cs="仿宋"/>
          <w:color w:val="000000"/>
          <w:sz w:val="32"/>
          <w:szCs w:val="32"/>
        </w:rPr>
        <w:t>的现场管理，做好文明施工</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武汉光谷天燃气有限公司</w:t>
      </w:r>
      <w:r>
        <w:rPr>
          <w:rFonts w:hint="eastAsia" w:ascii="仿宋" w:hAnsi="仿宋" w:eastAsia="仿宋" w:cs="仿宋"/>
          <w:color w:val="000000"/>
          <w:sz w:val="32"/>
          <w:szCs w:val="32"/>
        </w:rPr>
        <w:t>须按工期完成工程改管任务，因</w:t>
      </w:r>
      <w:r>
        <w:rPr>
          <w:rFonts w:hint="eastAsia" w:ascii="仿宋" w:hAnsi="仿宋" w:eastAsia="仿宋" w:cs="仿宋"/>
          <w:color w:val="000000"/>
          <w:sz w:val="32"/>
          <w:szCs w:val="32"/>
          <w:lang w:val="en-US" w:eastAsia="zh-CN"/>
        </w:rPr>
        <w:t>武汉光谷天燃气有限公司</w:t>
      </w:r>
      <w:r>
        <w:rPr>
          <w:rFonts w:hint="eastAsia" w:ascii="仿宋" w:hAnsi="仿宋" w:eastAsia="仿宋" w:cs="仿宋"/>
          <w:color w:val="000000"/>
          <w:sz w:val="32"/>
          <w:szCs w:val="32"/>
        </w:rPr>
        <w:t>原因延误工期对</w:t>
      </w:r>
      <w:r>
        <w:rPr>
          <w:rFonts w:hint="eastAsia" w:ascii="仿宋" w:hAnsi="仿宋" w:eastAsia="仿宋" w:cs="仿宋"/>
          <w:color w:val="000000"/>
          <w:sz w:val="32"/>
          <w:szCs w:val="32"/>
          <w:lang w:val="en-US" w:eastAsia="zh-CN"/>
        </w:rPr>
        <w:t>湖北亿优物业管理有限责任公司</w:t>
      </w:r>
      <w:r>
        <w:rPr>
          <w:rFonts w:hint="eastAsia" w:ascii="仿宋" w:hAnsi="仿宋" w:eastAsia="仿宋" w:cs="仿宋"/>
          <w:color w:val="000000"/>
          <w:sz w:val="32"/>
          <w:szCs w:val="32"/>
        </w:rPr>
        <w:t>造成的直接损失由</w:t>
      </w:r>
      <w:r>
        <w:rPr>
          <w:rFonts w:hint="eastAsia" w:ascii="仿宋" w:hAnsi="仿宋" w:eastAsia="仿宋" w:cs="仿宋"/>
          <w:color w:val="000000"/>
          <w:sz w:val="32"/>
          <w:szCs w:val="32"/>
          <w:lang w:val="en-US" w:eastAsia="zh-CN"/>
        </w:rPr>
        <w:t>武汉光谷天燃气有限公司</w:t>
      </w:r>
      <w:r>
        <w:rPr>
          <w:rFonts w:hint="eastAsia" w:ascii="仿宋" w:hAnsi="仿宋" w:eastAsia="仿宋" w:cs="仿宋"/>
          <w:color w:val="000000"/>
          <w:sz w:val="32"/>
          <w:szCs w:val="32"/>
        </w:rPr>
        <w:t>负责承担。</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2.施工安全：</w:t>
      </w:r>
    </w:p>
    <w:p>
      <w:pPr>
        <w:keepNext w:val="0"/>
        <w:keepLines w:val="0"/>
        <w:pageBreakBefore w:val="0"/>
        <w:widowControl w:val="0"/>
        <w:kinsoku/>
        <w:wordWrap/>
        <w:overflowPunct/>
        <w:topLinePunct w:val="0"/>
        <w:bidi w:val="0"/>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武汉光谷天燃气有限公司</w:t>
      </w:r>
      <w:r>
        <w:rPr>
          <w:rFonts w:hint="eastAsia" w:ascii="仿宋" w:hAnsi="仿宋" w:eastAsia="仿宋" w:cs="仿宋"/>
          <w:color w:val="000000"/>
          <w:sz w:val="32"/>
          <w:szCs w:val="32"/>
        </w:rPr>
        <w:t>必须认真做好施工组织工作，开工前向</w:t>
      </w:r>
      <w:r>
        <w:rPr>
          <w:rFonts w:hint="eastAsia" w:ascii="仿宋" w:hAnsi="仿宋" w:eastAsia="仿宋" w:cs="仿宋"/>
          <w:color w:val="000000"/>
          <w:sz w:val="32"/>
          <w:szCs w:val="32"/>
          <w:lang w:val="en-US" w:eastAsia="zh-CN"/>
        </w:rPr>
        <w:t>湖北亿优物业管理有限责任公司</w:t>
      </w:r>
      <w:r>
        <w:rPr>
          <w:rFonts w:hint="eastAsia" w:ascii="仿宋" w:hAnsi="仿宋" w:eastAsia="仿宋" w:cs="仿宋"/>
          <w:color w:val="000000"/>
          <w:sz w:val="32"/>
          <w:szCs w:val="32"/>
        </w:rPr>
        <w:t>申报施工组织设计和开工报告，</w:t>
      </w:r>
      <w:r>
        <w:rPr>
          <w:rFonts w:hint="eastAsia" w:ascii="仿宋" w:hAnsi="仿宋" w:eastAsia="仿宋" w:cs="仿宋"/>
          <w:color w:val="000000"/>
          <w:sz w:val="32"/>
          <w:szCs w:val="32"/>
          <w:lang w:val="en-US" w:eastAsia="zh-CN"/>
        </w:rPr>
        <w:t>武汉光谷天燃气公司</w:t>
      </w:r>
      <w:r>
        <w:rPr>
          <w:rFonts w:hint="eastAsia" w:ascii="仿宋" w:hAnsi="仿宋" w:eastAsia="仿宋" w:cs="仿宋"/>
          <w:color w:val="000000"/>
          <w:sz w:val="32"/>
          <w:szCs w:val="32"/>
        </w:rPr>
        <w:t>负责对工程全过程做好安全措施，按城市管理有关规定安全施工，承担</w:t>
      </w:r>
      <w:r>
        <w:rPr>
          <w:rFonts w:hint="eastAsia" w:ascii="仿宋" w:hAnsi="仿宋" w:eastAsia="仿宋" w:cs="仿宋"/>
          <w:color w:val="000000"/>
          <w:sz w:val="32"/>
          <w:szCs w:val="32"/>
          <w:lang w:val="en-US" w:eastAsia="zh-CN"/>
        </w:rPr>
        <w:t>武汉光谷天燃气公司</w:t>
      </w:r>
      <w:r>
        <w:rPr>
          <w:rFonts w:hint="eastAsia" w:ascii="仿宋" w:hAnsi="仿宋" w:eastAsia="仿宋" w:cs="仿宋"/>
          <w:color w:val="000000"/>
          <w:sz w:val="32"/>
          <w:szCs w:val="32"/>
        </w:rPr>
        <w:t>施工范围内的安全责任。</w:t>
      </w:r>
    </w:p>
    <w:p>
      <w:pPr>
        <w:keepNext w:val="0"/>
        <w:keepLines w:val="0"/>
        <w:pageBreakBefore w:val="0"/>
        <w:widowControl w:val="0"/>
        <w:kinsoku/>
        <w:wordWrap/>
        <w:overflowPunct/>
        <w:topLinePunct w:val="0"/>
        <w:bidi w:val="0"/>
        <w:spacing w:line="60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武汉光谷天燃气公司</w:t>
      </w:r>
      <w:r>
        <w:rPr>
          <w:rFonts w:hint="eastAsia" w:ascii="仿宋" w:hAnsi="仿宋" w:eastAsia="仿宋" w:cs="仿宋"/>
          <w:color w:val="000000"/>
          <w:sz w:val="32"/>
          <w:szCs w:val="32"/>
        </w:rPr>
        <w:t>负责施工现场文明施工工作，设置安全通道、安全标志，并及时清运垃圾，做到工完场清。</w:t>
      </w:r>
      <w:r>
        <w:rPr>
          <w:rFonts w:hint="eastAsia" w:ascii="仿宋" w:hAnsi="仿宋" w:eastAsia="仿宋" w:cs="仿宋"/>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3.工程费用及付款方式：</w:t>
      </w:r>
    </w:p>
    <w:p>
      <w:pPr>
        <w:keepNext w:val="0"/>
        <w:keepLines w:val="0"/>
        <w:pageBreakBefore w:val="0"/>
        <w:widowControl w:val="0"/>
        <w:kinsoku/>
        <w:wordWrap/>
        <w:overflowPunct/>
        <w:topLinePunct w:val="0"/>
        <w:bidi w:val="0"/>
        <w:spacing w:line="60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改管工程如产生建安工程费、材料费、设计费等费用，相关计费依据为：</w:t>
      </w:r>
    </w:p>
    <w:p>
      <w:pPr>
        <w:keepNext w:val="0"/>
        <w:keepLines w:val="0"/>
        <w:pageBreakBefore w:val="0"/>
        <w:widowControl w:val="0"/>
        <w:kinsoku/>
        <w:wordWrap/>
        <w:overflowPunct/>
        <w:topLinePunct w:val="0"/>
        <w:bidi w:val="0"/>
        <w:spacing w:line="60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建安工程费依据住建部《2013年建设工程工程量清单计价规范》、鄂建办【2018】27号文《2018年湖北省消耗量定额及全费用基价表》、武汉市城乡建设局［2021］X0002号市城建局关于发布《武汉市燃气管道工程消耗量定额及全费用基价表》等相关规范标准。</w:t>
      </w:r>
    </w:p>
    <w:p>
      <w:pPr>
        <w:keepNext w:val="0"/>
        <w:keepLines w:val="0"/>
        <w:pageBreakBefore w:val="0"/>
        <w:widowControl w:val="0"/>
        <w:kinsoku/>
        <w:wordWrap/>
        <w:overflowPunct/>
        <w:topLinePunct w:val="0"/>
        <w:bidi w:val="0"/>
        <w:spacing w:line="60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主材价格依据武汉市天然气有限公司年度招标采购价，</w:t>
      </w:r>
      <w:r>
        <w:rPr>
          <w:rFonts w:hint="eastAsia" w:ascii="仿宋" w:hAnsi="仿宋" w:eastAsia="仿宋" w:cs="仿宋"/>
          <w:color w:val="000000"/>
          <w:sz w:val="32"/>
          <w:szCs w:val="32"/>
          <w:lang w:val="en-US" w:eastAsia="zh-CN"/>
        </w:rPr>
        <w:t>武汉光谷天燃气有限公司</w:t>
      </w:r>
      <w:r>
        <w:rPr>
          <w:rFonts w:hint="eastAsia" w:ascii="仿宋" w:hAnsi="仿宋" w:eastAsia="仿宋" w:cs="仿宋"/>
          <w:color w:val="000000"/>
          <w:sz w:val="32"/>
          <w:szCs w:val="32"/>
        </w:rPr>
        <w:t>提供该项目施工当期所使用的主材价格表并加盖企业公章，作为结算审计时的材料价格依据；其他材料价格依据施工当期的武汉市场信息价。</w:t>
      </w:r>
    </w:p>
    <w:p>
      <w:pPr>
        <w:keepNext w:val="0"/>
        <w:keepLines w:val="0"/>
        <w:pageBreakBefore w:val="0"/>
        <w:widowControl w:val="0"/>
        <w:kinsoku/>
        <w:wordWrap/>
        <w:overflowPunct/>
        <w:topLinePunct w:val="0"/>
        <w:bidi w:val="0"/>
        <w:spacing w:line="60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监理费按照鄂建监协［2015］7号文计算。</w:t>
      </w:r>
    </w:p>
    <w:p>
      <w:pPr>
        <w:keepNext w:val="0"/>
        <w:keepLines w:val="0"/>
        <w:pageBreakBefore w:val="0"/>
        <w:widowControl w:val="0"/>
        <w:kinsoku/>
        <w:wordWrap/>
        <w:overflowPunct/>
        <w:topLinePunct w:val="0"/>
        <w:bidi w:val="0"/>
        <w:spacing w:line="60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设计费参照《工程勘察设计收费标准》（2002年修订版）的相关费率计算。</w:t>
      </w:r>
    </w:p>
    <w:p>
      <w:pPr>
        <w:keepNext w:val="0"/>
        <w:keepLines w:val="0"/>
        <w:pageBreakBefore w:val="0"/>
        <w:widowControl w:val="0"/>
        <w:kinsoku/>
        <w:wordWrap/>
        <w:overflowPunct/>
        <w:topLinePunct w:val="0"/>
        <w:bidi w:val="0"/>
        <w:spacing w:line="60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竣工测量费按照《国测财字（2002）3号文》计算。</w:t>
      </w:r>
    </w:p>
    <w:p>
      <w:pPr>
        <w:keepNext w:val="0"/>
        <w:keepLines w:val="0"/>
        <w:pageBreakBefore w:val="0"/>
        <w:widowControl w:val="0"/>
        <w:kinsoku/>
        <w:wordWrap/>
        <w:overflowPunct/>
        <w:topLinePunct w:val="0"/>
        <w:bidi w:val="0"/>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color w:val="000000"/>
          <w:sz w:val="32"/>
          <w:szCs w:val="32"/>
          <w:lang w:val="en-US" w:eastAsia="zh-CN"/>
        </w:rPr>
        <w:t>6）</w:t>
      </w:r>
      <w:r>
        <w:rPr>
          <w:rFonts w:hint="eastAsia" w:ascii="仿宋" w:hAnsi="仿宋" w:eastAsia="仿宋" w:cs="仿宋"/>
          <w:color w:val="000000"/>
          <w:sz w:val="32"/>
          <w:szCs w:val="32"/>
        </w:rPr>
        <w:t>图审费按照鄂价房服［2006］273号文计算。</w:t>
      </w:r>
    </w:p>
    <w:p>
      <w:pPr>
        <w:keepNext w:val="0"/>
        <w:keepLines w:val="0"/>
        <w:pageBreakBefore w:val="0"/>
        <w:widowControl w:val="0"/>
        <w:kinsoku/>
        <w:wordWrap/>
        <w:overflowPunct/>
        <w:topLinePunct w:val="0"/>
        <w:bidi w:val="0"/>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本改管工程依据项目施工图纸及双方核定的工程量确定的含税包干价（</w:t>
      </w:r>
      <w:r>
        <w:rPr>
          <w:rFonts w:hint="eastAsia" w:ascii="仿宋" w:hAnsi="仿宋" w:eastAsia="仿宋" w:cs="仿宋"/>
          <w:color w:val="000000"/>
          <w:sz w:val="32"/>
          <w:szCs w:val="32"/>
          <w:u w:val="single"/>
        </w:rPr>
        <w:t>不包含</w:t>
      </w:r>
      <w:r>
        <w:rPr>
          <w:rFonts w:hint="eastAsia" w:ascii="仿宋" w:hAnsi="仿宋" w:eastAsia="仿宋" w:cs="仿宋"/>
          <w:color w:val="000000"/>
          <w:sz w:val="32"/>
          <w:szCs w:val="32"/>
        </w:rPr>
        <w:t>设计费）为¥</w:t>
      </w:r>
      <w:r>
        <w:rPr>
          <w:rFonts w:hint="eastAsia" w:ascii="仿宋" w:hAnsi="仿宋" w:eastAsia="仿宋" w:cs="仿宋"/>
          <w:color w:val="000000"/>
          <w:sz w:val="32"/>
          <w:szCs w:val="32"/>
          <w:u w:val="single"/>
        </w:rPr>
        <w:t>13584.98</w:t>
      </w:r>
      <w:r>
        <w:rPr>
          <w:rFonts w:hint="eastAsia" w:ascii="仿宋" w:hAnsi="仿宋" w:eastAsia="仿宋" w:cs="仿宋"/>
          <w:color w:val="000000"/>
          <w:sz w:val="32"/>
          <w:szCs w:val="32"/>
          <w:u w:val="single"/>
          <w:lang w:val="en-US" w:eastAsia="zh-CN"/>
        </w:rPr>
        <w:t xml:space="preserve"> </w:t>
      </w:r>
      <w:r>
        <w:rPr>
          <w:rFonts w:hint="eastAsia" w:ascii="仿宋" w:hAnsi="仿宋" w:eastAsia="仿宋" w:cs="仿宋"/>
          <w:color w:val="000000"/>
          <w:sz w:val="32"/>
          <w:szCs w:val="32"/>
        </w:rPr>
        <w:t>，（大写）</w:t>
      </w:r>
      <w:r>
        <w:rPr>
          <w:rFonts w:hint="eastAsia" w:ascii="仿宋" w:hAnsi="仿宋" w:eastAsia="仿宋" w:cs="仿宋"/>
          <w:color w:val="000000"/>
          <w:sz w:val="32"/>
          <w:szCs w:val="32"/>
          <w:u w:val="single"/>
        </w:rPr>
        <w:t>人民币壹万叁仟伍佰捌拾肆元玖角捌分</w:t>
      </w:r>
      <w:r>
        <w:rPr>
          <w:rFonts w:hint="eastAsia" w:ascii="仿宋" w:hAnsi="仿宋" w:eastAsia="仿宋" w:cs="仿宋"/>
          <w:color w:val="000000"/>
          <w:sz w:val="32"/>
          <w:szCs w:val="32"/>
        </w:rPr>
        <w:t>，其中不含税价¥</w:t>
      </w:r>
      <w:r>
        <w:rPr>
          <w:rFonts w:hint="eastAsia" w:ascii="仿宋" w:hAnsi="仿宋" w:eastAsia="仿宋" w:cs="仿宋"/>
          <w:color w:val="000000"/>
          <w:sz w:val="32"/>
          <w:szCs w:val="32"/>
          <w:u w:val="single"/>
        </w:rPr>
        <w:t>12463.28</w:t>
      </w:r>
      <w:r>
        <w:rPr>
          <w:rFonts w:hint="eastAsia" w:ascii="仿宋" w:hAnsi="仿宋" w:eastAsia="仿宋" w:cs="仿宋"/>
          <w:color w:val="000000"/>
          <w:sz w:val="32"/>
          <w:szCs w:val="32"/>
          <w:u w:val="single"/>
          <w:lang w:val="en-US" w:eastAsia="zh-CN"/>
        </w:rPr>
        <w:t xml:space="preserve"> </w:t>
      </w:r>
      <w:r>
        <w:rPr>
          <w:rFonts w:hint="eastAsia" w:ascii="仿宋" w:hAnsi="仿宋" w:eastAsia="仿宋" w:cs="仿宋"/>
          <w:color w:val="000000"/>
          <w:sz w:val="32"/>
          <w:szCs w:val="32"/>
        </w:rPr>
        <w:t>、增值税税额¥</w:t>
      </w:r>
      <w:r>
        <w:rPr>
          <w:rFonts w:hint="eastAsia" w:ascii="仿宋" w:hAnsi="仿宋" w:eastAsia="仿宋" w:cs="仿宋"/>
          <w:color w:val="000000"/>
          <w:sz w:val="32"/>
          <w:szCs w:val="32"/>
          <w:u w:val="single"/>
        </w:rPr>
        <w:t>1121.70</w:t>
      </w:r>
      <w:r>
        <w:rPr>
          <w:rFonts w:hint="eastAsia" w:ascii="仿宋" w:hAnsi="仿宋" w:eastAsia="仿宋" w:cs="仿宋"/>
          <w:color w:val="000000"/>
          <w:sz w:val="32"/>
          <w:szCs w:val="32"/>
          <w:u w:val="single"/>
          <w:lang w:val="en-US" w:eastAsia="zh-CN"/>
        </w:rPr>
        <w:t xml:space="preserve"> </w:t>
      </w:r>
      <w:r>
        <w:rPr>
          <w:rFonts w:hint="eastAsia" w:ascii="仿宋" w:hAnsi="仿宋" w:eastAsia="仿宋" w:cs="仿宋"/>
          <w:color w:val="000000"/>
          <w:sz w:val="32"/>
          <w:szCs w:val="32"/>
        </w:rPr>
        <w:t>，税率9％。当国家税收政策调整时，在保证不含税金额不变的前提下，税金、</w:t>
      </w:r>
      <w:r>
        <w:rPr>
          <w:rFonts w:hint="eastAsia" w:ascii="仿宋" w:hAnsi="仿宋" w:eastAsia="仿宋" w:cs="仿宋"/>
          <w:color w:val="000000"/>
          <w:sz w:val="32"/>
          <w:szCs w:val="32"/>
          <w:highlight w:val="none"/>
        </w:rPr>
        <w:t>合同</w:t>
      </w:r>
      <w:r>
        <w:rPr>
          <w:rFonts w:hint="eastAsia" w:ascii="仿宋" w:hAnsi="仿宋" w:eastAsia="仿宋" w:cs="仿宋"/>
          <w:color w:val="000000"/>
          <w:sz w:val="32"/>
          <w:szCs w:val="32"/>
        </w:rPr>
        <w:t>总价同步调整。</w:t>
      </w:r>
    </w:p>
    <w:p>
      <w:pPr>
        <w:keepNext w:val="0"/>
        <w:keepLines w:val="0"/>
        <w:pageBreakBefore w:val="0"/>
        <w:widowControl w:val="0"/>
        <w:kinsoku/>
        <w:wordWrap/>
        <w:overflowPunct/>
        <w:topLinePunct w:val="0"/>
        <w:bidi w:val="0"/>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color w:val="000000"/>
          <w:sz w:val="32"/>
          <w:szCs w:val="32"/>
        </w:rPr>
        <w:t>本协议签订之日起7天内，</w:t>
      </w:r>
      <w:r>
        <w:rPr>
          <w:rFonts w:hint="eastAsia" w:ascii="仿宋" w:hAnsi="仿宋" w:eastAsia="仿宋" w:cs="仿宋"/>
          <w:color w:val="000000"/>
          <w:sz w:val="32"/>
          <w:szCs w:val="32"/>
          <w:lang w:val="en-US" w:eastAsia="zh-CN"/>
        </w:rPr>
        <w:t>湖北亿优物业管理有限责任公司</w:t>
      </w:r>
      <w:r>
        <w:rPr>
          <w:rFonts w:hint="eastAsia" w:ascii="仿宋" w:hAnsi="仿宋" w:eastAsia="仿宋" w:cs="仿宋"/>
          <w:color w:val="000000"/>
          <w:sz w:val="32"/>
          <w:szCs w:val="32"/>
        </w:rPr>
        <w:t>付给</w:t>
      </w:r>
      <w:r>
        <w:rPr>
          <w:rFonts w:hint="eastAsia" w:ascii="仿宋" w:hAnsi="仿宋" w:eastAsia="仿宋" w:cs="仿宋"/>
          <w:color w:val="000000"/>
          <w:sz w:val="32"/>
          <w:szCs w:val="32"/>
          <w:lang w:val="en-US" w:eastAsia="zh-CN"/>
        </w:rPr>
        <w:t>武汉光谷天燃气有限公司</w:t>
      </w:r>
      <w:r>
        <w:rPr>
          <w:rFonts w:hint="eastAsia" w:ascii="仿宋" w:hAnsi="仿宋" w:eastAsia="仿宋" w:cs="仿宋"/>
          <w:color w:val="000000"/>
          <w:sz w:val="32"/>
          <w:szCs w:val="32"/>
        </w:rPr>
        <w:t>工程首付款为</w:t>
      </w:r>
      <w:r>
        <w:rPr>
          <w:rFonts w:hint="eastAsia" w:ascii="仿宋" w:hAnsi="仿宋" w:eastAsia="仿宋" w:cs="仿宋"/>
          <w:color w:val="000000"/>
          <w:sz w:val="32"/>
          <w:szCs w:val="32"/>
          <w:highlight w:val="none"/>
        </w:rPr>
        <w:t>合同总价</w:t>
      </w:r>
      <w:r>
        <w:rPr>
          <w:rFonts w:hint="eastAsia" w:ascii="仿宋" w:hAnsi="仿宋" w:eastAsia="仿宋" w:cs="仿宋"/>
          <w:color w:val="000000"/>
          <w:sz w:val="32"/>
          <w:szCs w:val="32"/>
        </w:rPr>
        <w:t>的</w:t>
      </w:r>
      <w:r>
        <w:rPr>
          <w:rFonts w:hint="eastAsia" w:ascii="仿宋" w:hAnsi="仿宋" w:eastAsia="仿宋" w:cs="仿宋"/>
          <w:color w:val="000000"/>
          <w:sz w:val="32"/>
          <w:szCs w:val="32"/>
          <w:u w:val="single"/>
        </w:rPr>
        <w:t>100％，</w:t>
      </w:r>
      <w:r>
        <w:rPr>
          <w:rFonts w:hint="eastAsia" w:ascii="仿宋" w:hAnsi="仿宋" w:eastAsia="仿宋" w:cs="仿宋"/>
          <w:color w:val="000000"/>
          <w:sz w:val="32"/>
          <w:szCs w:val="32"/>
        </w:rPr>
        <w:t>即¥</w:t>
      </w:r>
      <w:r>
        <w:rPr>
          <w:rFonts w:hint="eastAsia" w:ascii="仿宋" w:hAnsi="仿宋" w:eastAsia="仿宋" w:cs="仿宋"/>
          <w:color w:val="000000"/>
          <w:sz w:val="32"/>
          <w:szCs w:val="32"/>
          <w:u w:val="single"/>
        </w:rPr>
        <w:t>13584.98</w:t>
      </w:r>
      <w:r>
        <w:rPr>
          <w:rFonts w:hint="eastAsia" w:ascii="仿宋" w:hAnsi="仿宋" w:eastAsia="仿宋" w:cs="仿宋"/>
          <w:color w:val="000000"/>
          <w:sz w:val="32"/>
          <w:szCs w:val="32"/>
        </w:rPr>
        <w:t>（大写：</w:t>
      </w:r>
      <w:r>
        <w:rPr>
          <w:rFonts w:hint="eastAsia" w:ascii="仿宋" w:hAnsi="仿宋" w:eastAsia="仿宋" w:cs="仿宋"/>
          <w:color w:val="000000"/>
          <w:sz w:val="32"/>
          <w:szCs w:val="32"/>
          <w:u w:val="single"/>
        </w:rPr>
        <w:t>人民币壹万叁仟伍佰捌拾肆元玖角捌分）</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湖北亿优物业管理有限责任公司</w:t>
      </w:r>
      <w:r>
        <w:rPr>
          <w:rFonts w:hint="eastAsia" w:ascii="仿宋" w:hAnsi="仿宋" w:eastAsia="仿宋" w:cs="仿宋"/>
          <w:color w:val="000000"/>
          <w:sz w:val="32"/>
          <w:szCs w:val="32"/>
        </w:rPr>
        <w:t>按期履行本条款后，</w:t>
      </w:r>
      <w:r>
        <w:rPr>
          <w:rFonts w:hint="eastAsia" w:ascii="仿宋" w:hAnsi="仿宋" w:eastAsia="仿宋" w:cs="仿宋"/>
          <w:color w:val="000000"/>
          <w:sz w:val="32"/>
          <w:szCs w:val="32"/>
          <w:lang w:val="en-US" w:eastAsia="zh-CN"/>
        </w:rPr>
        <w:t>武汉光谷天燃气有限公司</w:t>
      </w:r>
      <w:r>
        <w:rPr>
          <w:rFonts w:hint="eastAsia" w:ascii="仿宋" w:hAnsi="仿宋" w:eastAsia="仿宋" w:cs="仿宋"/>
          <w:color w:val="000000"/>
          <w:sz w:val="32"/>
          <w:szCs w:val="32"/>
        </w:rPr>
        <w:t>进场施工。</w:t>
      </w:r>
    </w:p>
    <w:p>
      <w:pPr>
        <w:keepNext w:val="0"/>
        <w:keepLines w:val="0"/>
        <w:pageBreakBefore w:val="0"/>
        <w:widowControl w:val="0"/>
        <w:kinsoku/>
        <w:wordWrap/>
        <w:overflowPunct/>
        <w:topLinePunct w:val="0"/>
        <w:bidi w:val="0"/>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color w:val="000000"/>
          <w:sz w:val="32"/>
          <w:szCs w:val="32"/>
          <w:lang w:val="en-US" w:eastAsia="zh-CN"/>
        </w:rPr>
        <w:t>（3）武汉光谷天燃气有限公司</w:t>
      </w:r>
      <w:r>
        <w:rPr>
          <w:rFonts w:hint="eastAsia" w:ascii="仿宋" w:hAnsi="仿宋" w:eastAsia="仿宋" w:cs="仿宋"/>
          <w:color w:val="000000"/>
          <w:sz w:val="32"/>
          <w:szCs w:val="32"/>
        </w:rPr>
        <w:t>根据</w:t>
      </w:r>
      <w:r>
        <w:rPr>
          <w:rFonts w:hint="eastAsia" w:ascii="仿宋" w:hAnsi="仿宋" w:eastAsia="仿宋" w:cs="仿宋"/>
          <w:color w:val="000000"/>
          <w:sz w:val="32"/>
          <w:szCs w:val="32"/>
          <w:lang w:val="en-US" w:eastAsia="zh-CN"/>
        </w:rPr>
        <w:t>湖北亿优物业管理有限责任公司</w:t>
      </w:r>
      <w:r>
        <w:rPr>
          <w:rFonts w:hint="eastAsia" w:ascii="仿宋" w:hAnsi="仿宋" w:eastAsia="仿宋" w:cs="仿宋"/>
          <w:color w:val="000000"/>
          <w:sz w:val="32"/>
          <w:szCs w:val="32"/>
        </w:rPr>
        <w:t>的需求提供增值税专用发票或增值税普通发票。</w:t>
      </w:r>
    </w:p>
    <w:p>
      <w:pPr>
        <w:keepNext w:val="0"/>
        <w:keepLines w:val="0"/>
        <w:pageBreakBefore w:val="0"/>
        <w:widowControl w:val="0"/>
        <w:kinsoku/>
        <w:wordWrap/>
        <w:overflowPunct/>
        <w:topLinePunct w:val="0"/>
        <w:bidi w:val="0"/>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如本协议价格不含设计费，则设计的相关事宜（如有）另由</w:t>
      </w:r>
      <w:r>
        <w:rPr>
          <w:rFonts w:hint="eastAsia" w:ascii="仿宋" w:hAnsi="仿宋" w:eastAsia="仿宋" w:cs="仿宋"/>
          <w:color w:val="000000"/>
          <w:sz w:val="32"/>
          <w:szCs w:val="32"/>
          <w:lang w:val="en-US" w:eastAsia="zh-CN"/>
        </w:rPr>
        <w:t>湖北亿优物业管理有限责任公司</w:t>
      </w:r>
      <w:r>
        <w:rPr>
          <w:rFonts w:hint="eastAsia" w:ascii="仿宋" w:hAnsi="仿宋" w:eastAsia="仿宋" w:cs="仿宋"/>
          <w:color w:val="000000"/>
          <w:sz w:val="32"/>
          <w:szCs w:val="32"/>
        </w:rPr>
        <w:t>与设计院签订合同并结算费用。</w:t>
      </w:r>
    </w:p>
    <w:p>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如本协议工程涉及建筑红线相关工作，红线由</w:t>
      </w:r>
      <w:r>
        <w:rPr>
          <w:rFonts w:hint="eastAsia" w:ascii="仿宋" w:hAnsi="仿宋" w:eastAsia="仿宋" w:cs="仿宋"/>
          <w:color w:val="000000"/>
          <w:sz w:val="32"/>
          <w:szCs w:val="32"/>
          <w:lang w:val="en-US" w:eastAsia="zh-CN"/>
        </w:rPr>
        <w:t>湖北亿优物业管理有限责任公司</w:t>
      </w:r>
      <w:r>
        <w:rPr>
          <w:rFonts w:hint="eastAsia" w:ascii="仿宋" w:hAnsi="仿宋" w:eastAsia="仿宋" w:cs="仿宋"/>
          <w:color w:val="000000"/>
          <w:sz w:val="32"/>
          <w:szCs w:val="32"/>
        </w:rPr>
        <w:t>负责办理，红线费用由</w:t>
      </w:r>
      <w:r>
        <w:rPr>
          <w:rFonts w:hint="eastAsia" w:ascii="仿宋" w:hAnsi="仿宋" w:eastAsia="仿宋" w:cs="仿宋"/>
          <w:color w:val="000000"/>
          <w:sz w:val="32"/>
          <w:szCs w:val="32"/>
          <w:lang w:val="en-US" w:eastAsia="zh-CN"/>
        </w:rPr>
        <w:t>湖北亿优物业管理有限责任公司</w:t>
      </w:r>
      <w:r>
        <w:rPr>
          <w:rFonts w:hint="eastAsia" w:ascii="仿宋" w:hAnsi="仿宋" w:eastAsia="仿宋" w:cs="仿宋"/>
          <w:color w:val="000000"/>
          <w:sz w:val="32"/>
          <w:szCs w:val="32"/>
        </w:rPr>
        <w:t>另行支付。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公文小标宋">
    <w:panose1 w:val="02000500000000000000"/>
    <w:charset w:val="86"/>
    <w:family w:val="auto"/>
    <w:pitch w:val="default"/>
    <w:sig w:usb0="A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jZTI5MDQ4MTQ4OTRlYzNmYzM5NjRhNTQwNjI0MjYifQ=="/>
  </w:docVars>
  <w:rsids>
    <w:rsidRoot w:val="75E04DBD"/>
    <w:rsid w:val="165C4FB0"/>
    <w:rsid w:val="75E04D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2023-11-28T12:50:00Z</dcterms:created>
  <dc:creator>此号已封</dc:creator>
  <cp:lastModifiedBy>此号已封</cp:lastModifiedBy>
  <dcterms:modified xsi:type="dcterms:W3CDTF">2023-11-28T12:57:36Z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6879A7F04E5B4BC6BFA5EF41C6EF09B4_11</vt:lpwstr>
  </property>
</Properties>
</file>